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г. Москва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проведению оценки профессиональных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обеспечения функционирования системы управления охраной труда и в соответствии с требованиями статей </w:t>
      </w:r>
      <w:r>
        <w:rPr>
          <w:rFonts w:hAnsi="Times New Roman" w:cs="Times New Roman"/>
          <w:color w:val="000000"/>
          <w:sz w:val="24"/>
          <w:szCs w:val="24"/>
        </w:rPr>
        <w:t>209.1</w:t>
      </w:r>
      <w:r>
        <w:rPr>
          <w:rFonts w:hAnsi="Times New Roman" w:cs="Times New Roman"/>
          <w:color w:val="000000"/>
          <w:sz w:val="24"/>
          <w:szCs w:val="24"/>
        </w:rPr>
        <w:t xml:space="preserve"> и </w:t>
      </w:r>
      <w:r>
        <w:rPr>
          <w:rFonts w:hAnsi="Times New Roman" w:cs="Times New Roman"/>
          <w:color w:val="000000"/>
          <w:sz w:val="24"/>
          <w:szCs w:val="24"/>
        </w:rPr>
        <w:t>218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ТК РФ о соблюдении основных принципов обеспечения безопасности труда в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по идентификации опасностей, оценке профессиональных рисков и управлению профессиональными рисками в следующем 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председатель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члены 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 план-график мероприятий по идентификации опасностей и оценке профрисков;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выбрать методы оценки и снижения уровней профессиональных рисков, руководствуясь рекомендациями, утверждёнными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28.12.2021 № 926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Членам комиссии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выявить опасности, провести оценку профессиональных рисков в организации в соответствии с требованиями, установленными в положении о СУОТ.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Далее проводить оценку профессиональных рисков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соответствии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утвержденным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года по результатам идентификации опасностей и оценки рисков разработать план мероприятий по управлению профессиональными рисками.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b57044516d94a0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